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B2" w:rsidRPr="00762430" w:rsidRDefault="008C1DB2" w:rsidP="00762430">
      <w:pPr>
        <w:jc w:val="center"/>
        <w:rPr>
          <w:b/>
          <w:sz w:val="32"/>
        </w:rPr>
      </w:pPr>
      <w:r w:rsidRPr="00762430">
        <w:rPr>
          <w:b/>
          <w:sz w:val="32"/>
        </w:rPr>
        <w:t>Somerset Grants from the Tottenham Grammar School Foundation</w:t>
      </w:r>
    </w:p>
    <w:p w:rsidR="008C1DB2" w:rsidRDefault="008C1DB2" w:rsidP="00762430"/>
    <w:p w:rsidR="008C1DB2" w:rsidRDefault="008C1DB2" w:rsidP="00762430">
      <w:r>
        <w:t>Most colleagues working in Haringey schools are already aware that the Tottenham Grammar School Foundation can assist with the costs of a range of activities and projects. However it is appreciated that as some staff leave or join schools, or move into new roles, the knowledge of when, where and how to apply can be lost. This is sometimes evidenced when agreed Grants are not claimed by a school or when applications suddenly stop arriving from schools who had hitherto regularly submitted funding requests.</w:t>
      </w:r>
    </w:p>
    <w:p w:rsidR="008C1DB2" w:rsidRPr="007F1FB7" w:rsidRDefault="008C1DB2" w:rsidP="001C64CB">
      <w:pPr>
        <w:tabs>
          <w:tab w:val="left" w:pos="426"/>
        </w:tabs>
        <w:ind w:left="426" w:hanging="426"/>
        <w:rPr>
          <w:sz w:val="12"/>
        </w:rPr>
      </w:pPr>
    </w:p>
    <w:p w:rsidR="008C1DB2" w:rsidRDefault="008C1DB2" w:rsidP="00762430">
      <w:r>
        <w:t>The Foundation’s Trustees would therefore like to remind schools that, for certain types of expenditure, they are welcome to apply for assistance. Details on how to apply can be found on our website. A further purpose of this information note relates to Haringey schools’ visiting the Pendarren Outdoor Education Centre.</w:t>
      </w:r>
    </w:p>
    <w:p w:rsidR="008C1DB2" w:rsidRPr="007F1FB7" w:rsidRDefault="008C1DB2" w:rsidP="001C64CB">
      <w:pPr>
        <w:tabs>
          <w:tab w:val="left" w:pos="426"/>
        </w:tabs>
        <w:ind w:left="426" w:hanging="426"/>
        <w:rPr>
          <w:sz w:val="12"/>
        </w:rPr>
      </w:pPr>
    </w:p>
    <w:p w:rsidR="008C1DB2" w:rsidRPr="00CB0D19" w:rsidRDefault="008C1DB2" w:rsidP="00B073A9">
      <w:pPr>
        <w:jc w:val="center"/>
        <w:rPr>
          <w:b/>
          <w:sz w:val="32"/>
        </w:rPr>
      </w:pPr>
      <w:r w:rsidRPr="00CB0D19">
        <w:rPr>
          <w:b/>
          <w:sz w:val="32"/>
        </w:rPr>
        <w:t>Pendarren</w:t>
      </w:r>
    </w:p>
    <w:p w:rsidR="008C1DB2" w:rsidRPr="007F1FB7" w:rsidRDefault="008C1DB2" w:rsidP="001C64CB">
      <w:pPr>
        <w:tabs>
          <w:tab w:val="left" w:pos="426"/>
        </w:tabs>
        <w:ind w:left="426" w:hanging="426"/>
        <w:rPr>
          <w:sz w:val="12"/>
        </w:rPr>
      </w:pPr>
    </w:p>
    <w:p w:rsidR="008C1DB2" w:rsidRDefault="008C1DB2">
      <w:r>
        <w:t xml:space="preserve">Most colleagues will also be aware that, over an extended period of time, Haringey Council has been reviewing the future of Pendarren. It is understood that a final outcome has yet to emerge but, following an informal approach from some of those involved, the Trustees of the Foundation have </w:t>
      </w:r>
      <w:r w:rsidRPr="00794D3D">
        <w:rPr>
          <w:u w:val="single"/>
        </w:rPr>
        <w:t>agreed to increase the level of funds</w:t>
      </w:r>
      <w:r>
        <w:t xml:space="preserve"> available to support Haringey schools visiting the Centre in the 2017-2018 Academic Year and, hopefully, in successive years too. </w:t>
      </w:r>
      <w:r w:rsidRPr="007F1FB7">
        <w:t>The Trustees have emphasised that they will expect schools to continue to make their requests on a per pupil basis and not simply ask for a general subsidy to the overall cost of their visit.</w:t>
      </w:r>
    </w:p>
    <w:p w:rsidR="008C1DB2" w:rsidRPr="007F1FB7" w:rsidRDefault="008C1DB2" w:rsidP="001C64CB">
      <w:pPr>
        <w:tabs>
          <w:tab w:val="left" w:pos="426"/>
        </w:tabs>
        <w:ind w:left="426" w:hanging="426"/>
        <w:rPr>
          <w:sz w:val="12"/>
        </w:rPr>
      </w:pPr>
    </w:p>
    <w:p w:rsidR="008C1DB2" w:rsidRDefault="008C1DB2">
      <w:r>
        <w:t xml:space="preserve">Mindful of the pressure of increasing workloads for certain staff in some schools, the Foundation’s Trustees would not want the process of submitting an application for support to be a deterrent. Therefore, in the case of funding requests for Pendarren trips only, relevant colleagues may find the following notes helpful when completing a </w:t>
      </w:r>
      <w:r w:rsidRPr="001C64CB">
        <w:rPr>
          <w:i/>
        </w:rPr>
        <w:t>Somerset Grant for Schools</w:t>
      </w:r>
      <w:r>
        <w:t xml:space="preserve"> application form:</w:t>
      </w:r>
    </w:p>
    <w:p w:rsidR="008C1DB2" w:rsidRPr="007F1FB7" w:rsidRDefault="008C1DB2" w:rsidP="001C64CB">
      <w:pPr>
        <w:tabs>
          <w:tab w:val="left" w:pos="426"/>
        </w:tabs>
        <w:ind w:left="426" w:hanging="426"/>
        <w:rPr>
          <w:sz w:val="12"/>
        </w:rPr>
      </w:pPr>
    </w:p>
    <w:p w:rsidR="008C1DB2" w:rsidRDefault="008C1DB2" w:rsidP="001C64CB">
      <w:pPr>
        <w:tabs>
          <w:tab w:val="left" w:pos="426"/>
        </w:tabs>
        <w:ind w:left="426" w:hanging="284"/>
      </w:pPr>
      <w:r>
        <w:t>(a)</w:t>
      </w:r>
      <w:r>
        <w:tab/>
        <w:t>the whole of page one must be completed as usual</w:t>
      </w:r>
    </w:p>
    <w:p w:rsidR="008C1DB2" w:rsidRDefault="008C1DB2" w:rsidP="001C64CB">
      <w:pPr>
        <w:tabs>
          <w:tab w:val="left" w:pos="426"/>
        </w:tabs>
        <w:ind w:left="426" w:hanging="284"/>
      </w:pPr>
      <w:r>
        <w:t>(b)</w:t>
      </w:r>
      <w:r>
        <w:tab/>
        <w:t>when deciding a request, Trustees will look closely at sections [12] and [13] at the bottom of page one</w:t>
      </w:r>
    </w:p>
    <w:p w:rsidR="008C1DB2" w:rsidRDefault="008C1DB2" w:rsidP="001C64CB">
      <w:pPr>
        <w:tabs>
          <w:tab w:val="left" w:pos="426"/>
        </w:tabs>
        <w:ind w:left="426" w:hanging="284"/>
      </w:pPr>
      <w:r>
        <w:t>(c)</w:t>
      </w:r>
      <w:r>
        <w:tab/>
        <w:t>Trustees would usually expect to see the total value of anticipated parental contributions to be included in section [13]</w:t>
      </w:r>
    </w:p>
    <w:p w:rsidR="008C1DB2" w:rsidRDefault="008C1DB2" w:rsidP="001C64CB">
      <w:pPr>
        <w:tabs>
          <w:tab w:val="left" w:pos="426"/>
        </w:tabs>
        <w:ind w:left="426" w:hanging="284"/>
      </w:pPr>
      <w:r>
        <w:t>(d)</w:t>
      </w:r>
      <w:r>
        <w:tab/>
        <w:t>some schools often leave out section [14] at the top of page two: this information is important for the Foundation’s records</w:t>
      </w:r>
    </w:p>
    <w:p w:rsidR="008C1DB2" w:rsidRDefault="008C1DB2" w:rsidP="001C64CB">
      <w:pPr>
        <w:tabs>
          <w:tab w:val="left" w:pos="426"/>
        </w:tabs>
        <w:ind w:left="426" w:hanging="284"/>
      </w:pPr>
      <w:r>
        <w:t>(e)</w:t>
      </w:r>
      <w:r>
        <w:tab/>
        <w:t>for section [15], all that’s needed here is the word “Pendarren” – many of the Foundation’s Trustees have visited the Centre and all Trustees are familiar with the educational benefits</w:t>
      </w:r>
    </w:p>
    <w:p w:rsidR="008C1DB2" w:rsidRDefault="008C1DB2" w:rsidP="001C64CB">
      <w:pPr>
        <w:tabs>
          <w:tab w:val="left" w:pos="426"/>
        </w:tabs>
        <w:ind w:left="426" w:hanging="284"/>
      </w:pPr>
      <w:r>
        <w:t>(f)</w:t>
      </w:r>
      <w:r>
        <w:tab/>
        <w:t>section [16] is the most important part of the application form. The Trustees will need to clearly see how the figures given in sections [10], [11], [12] and [13] on page one have been calculated. A simple breakdown of the trip’s expenditure and income/funding should be given. The worked example below is based on an actual application form received from a Haringey Primary School: **</w:t>
      </w:r>
    </w:p>
    <w:p w:rsidR="008C1DB2" w:rsidRPr="007F1FB7" w:rsidRDefault="008C1DB2" w:rsidP="00D34888">
      <w:pPr>
        <w:tabs>
          <w:tab w:val="left" w:pos="426"/>
        </w:tabs>
        <w:ind w:left="426" w:hanging="426"/>
        <w:rPr>
          <w:sz w:val="12"/>
        </w:rPr>
      </w:pPr>
    </w:p>
    <w:p w:rsidR="008C1DB2" w:rsidRDefault="008C1DB2" w:rsidP="00D34888">
      <w:pPr>
        <w:tabs>
          <w:tab w:val="left" w:pos="7655"/>
          <w:tab w:val="decimal" w:pos="8931"/>
          <w:tab w:val="decimal" w:pos="9781"/>
        </w:tabs>
        <w:ind w:left="993" w:hanging="284"/>
      </w:pPr>
      <w:r w:rsidRPr="00235145">
        <w:rPr>
          <w:b/>
        </w:rPr>
        <w:t>A</w:t>
      </w:r>
      <w:r>
        <w:tab/>
        <w:t>Number of pupils being charged at the full rate</w:t>
      </w:r>
      <w:r>
        <w:tab/>
        <w:t>20 @</w:t>
      </w:r>
      <w:r>
        <w:tab/>
        <w:t>£234</w:t>
      </w:r>
      <w:r>
        <w:tab/>
        <w:t>£4,680</w:t>
      </w:r>
    </w:p>
    <w:p w:rsidR="008C1DB2" w:rsidRDefault="008C1DB2" w:rsidP="00D34888">
      <w:pPr>
        <w:tabs>
          <w:tab w:val="left" w:pos="7655"/>
          <w:tab w:val="decimal" w:pos="8931"/>
          <w:tab w:val="decimal" w:pos="9781"/>
        </w:tabs>
        <w:ind w:left="993" w:hanging="284"/>
      </w:pPr>
      <w:r>
        <w:rPr>
          <w:b/>
        </w:rPr>
        <w:t>B</w:t>
      </w:r>
      <w:r>
        <w:rPr>
          <w:b/>
        </w:rPr>
        <w:tab/>
      </w:r>
      <w:r>
        <w:t>Number of pupils being charged at the reduced rate</w:t>
      </w:r>
      <w:r>
        <w:tab/>
        <w:t>10 @</w:t>
      </w:r>
      <w:r>
        <w:tab/>
        <w:t>£152</w:t>
      </w:r>
      <w:r>
        <w:tab/>
        <w:t>£1,520</w:t>
      </w:r>
    </w:p>
    <w:p w:rsidR="008C1DB2" w:rsidRDefault="008C1DB2" w:rsidP="00D34888">
      <w:pPr>
        <w:tabs>
          <w:tab w:val="left" w:pos="7655"/>
          <w:tab w:val="decimal" w:pos="8931"/>
          <w:tab w:val="decimal" w:pos="9781"/>
        </w:tabs>
        <w:ind w:left="993" w:hanging="284"/>
      </w:pPr>
      <w:r>
        <w:rPr>
          <w:b/>
        </w:rPr>
        <w:t>C</w:t>
      </w:r>
      <w:r>
        <w:rPr>
          <w:b/>
        </w:rPr>
        <w:tab/>
      </w:r>
      <w:r>
        <w:t>Cost of the Return coach</w:t>
      </w:r>
      <w:r>
        <w:tab/>
        <w:t>30 @</w:t>
      </w:r>
      <w:r>
        <w:tab/>
        <w:t>£35</w:t>
      </w:r>
      <w:r>
        <w:tab/>
        <w:t>£1,050</w:t>
      </w:r>
    </w:p>
    <w:p w:rsidR="008C1DB2" w:rsidRDefault="008C1DB2" w:rsidP="00D34888">
      <w:pPr>
        <w:tabs>
          <w:tab w:val="left" w:pos="7655"/>
          <w:tab w:val="decimal" w:pos="8931"/>
          <w:tab w:val="decimal" w:pos="9781"/>
        </w:tabs>
        <w:ind w:left="993" w:hanging="284"/>
      </w:pPr>
      <w:r>
        <w:rPr>
          <w:b/>
        </w:rPr>
        <w:t>E</w:t>
      </w:r>
      <w:r>
        <w:rPr>
          <w:b/>
        </w:rPr>
        <w:tab/>
      </w:r>
      <w:r>
        <w:t>Total charge (</w:t>
      </w:r>
      <w:r w:rsidRPr="00E718F5">
        <w:rPr>
          <w:b/>
        </w:rPr>
        <w:t>A</w:t>
      </w:r>
      <w:r>
        <w:t>+</w:t>
      </w:r>
      <w:r w:rsidRPr="00E718F5">
        <w:rPr>
          <w:b/>
        </w:rPr>
        <w:t>B</w:t>
      </w:r>
      <w:r>
        <w:t>+</w:t>
      </w:r>
      <w:r w:rsidRPr="00E718F5">
        <w:rPr>
          <w:b/>
        </w:rPr>
        <w:t>C</w:t>
      </w:r>
      <w:r>
        <w:t>)</w:t>
      </w:r>
      <w:r>
        <w:tab/>
      </w:r>
      <w:r>
        <w:tab/>
      </w:r>
      <w:r>
        <w:tab/>
      </w:r>
      <w:r w:rsidRPr="00045F28">
        <w:rPr>
          <w:b/>
        </w:rPr>
        <w:t>£7,250</w:t>
      </w:r>
    </w:p>
    <w:p w:rsidR="008C1DB2" w:rsidRDefault="008C1DB2" w:rsidP="00D34888">
      <w:pPr>
        <w:tabs>
          <w:tab w:val="left" w:pos="7655"/>
          <w:tab w:val="decimal" w:pos="8931"/>
          <w:tab w:val="decimal" w:pos="9781"/>
        </w:tabs>
        <w:ind w:left="993" w:hanging="284"/>
      </w:pPr>
      <w:r>
        <w:rPr>
          <w:b/>
        </w:rPr>
        <w:t>F</w:t>
      </w:r>
      <w:r>
        <w:rPr>
          <w:b/>
        </w:rPr>
        <w:tab/>
      </w:r>
      <w:r>
        <w:t>parental contributions at full-rate</w:t>
      </w:r>
      <w:r>
        <w:tab/>
        <w:t>10 @</w:t>
      </w:r>
      <w:r>
        <w:tab/>
        <w:t>£269</w:t>
      </w:r>
      <w:r>
        <w:tab/>
        <w:t>£2,690</w:t>
      </w:r>
    </w:p>
    <w:p w:rsidR="008C1DB2" w:rsidRPr="00E718F5" w:rsidRDefault="008C1DB2" w:rsidP="00D34888">
      <w:pPr>
        <w:tabs>
          <w:tab w:val="left" w:pos="7655"/>
          <w:tab w:val="decimal" w:pos="8931"/>
          <w:tab w:val="decimal" w:pos="9781"/>
        </w:tabs>
        <w:ind w:left="993" w:hanging="284"/>
      </w:pPr>
      <w:r>
        <w:rPr>
          <w:b/>
        </w:rPr>
        <w:t>G</w:t>
      </w:r>
      <w:r>
        <w:rPr>
          <w:b/>
        </w:rPr>
        <w:tab/>
      </w:r>
      <w:r>
        <w:t>parental contributions at a subsidised level</w:t>
      </w:r>
      <w:r>
        <w:tab/>
        <w:t>20 @</w:t>
      </w:r>
      <w:r>
        <w:tab/>
        <w:t>£90</w:t>
      </w:r>
      <w:r>
        <w:tab/>
        <w:t>£1,800</w:t>
      </w:r>
    </w:p>
    <w:p w:rsidR="008C1DB2" w:rsidRPr="00E718F5" w:rsidRDefault="008C1DB2" w:rsidP="00D34888">
      <w:pPr>
        <w:tabs>
          <w:tab w:val="left" w:pos="7655"/>
          <w:tab w:val="decimal" w:pos="8931"/>
          <w:tab w:val="decimal" w:pos="9781"/>
        </w:tabs>
        <w:ind w:left="993" w:hanging="284"/>
      </w:pPr>
      <w:r>
        <w:rPr>
          <w:b/>
        </w:rPr>
        <w:t>H</w:t>
      </w:r>
      <w:r>
        <w:rPr>
          <w:b/>
        </w:rPr>
        <w:tab/>
      </w:r>
      <w:r>
        <w:t xml:space="preserve">contribution from school’s budget </w:t>
      </w:r>
      <w:r w:rsidRPr="0000700A">
        <w:t xml:space="preserve">(e.g. </w:t>
      </w:r>
      <w:r>
        <w:t>Pupil Premium funding)</w:t>
      </w:r>
      <w:r w:rsidRPr="0000700A">
        <w:tab/>
      </w:r>
      <w:r>
        <w:t>10 @</w:t>
      </w:r>
      <w:r>
        <w:tab/>
        <w:t>£97</w:t>
      </w:r>
      <w:r>
        <w:tab/>
        <w:t>£970</w:t>
      </w:r>
    </w:p>
    <w:p w:rsidR="008C1DB2" w:rsidRPr="00E718F5" w:rsidRDefault="008C1DB2" w:rsidP="00D70FEE">
      <w:pPr>
        <w:tabs>
          <w:tab w:val="left" w:pos="3828"/>
          <w:tab w:val="left" w:pos="4253"/>
          <w:tab w:val="decimal" w:pos="5529"/>
          <w:tab w:val="decimal" w:pos="6521"/>
        </w:tabs>
        <w:ind w:left="993" w:hanging="284"/>
      </w:pPr>
      <w:r>
        <w:rPr>
          <w:b/>
        </w:rPr>
        <w:t>I</w:t>
      </w:r>
      <w:r>
        <w:rPr>
          <w:b/>
        </w:rPr>
        <w:tab/>
      </w:r>
      <w:r>
        <w:t>TGSF contribution requested:</w:t>
      </w:r>
      <w:r>
        <w:tab/>
        <w:t>(i)</w:t>
      </w:r>
      <w:r>
        <w:tab/>
        <w:t>10 @</w:t>
      </w:r>
      <w:r>
        <w:tab/>
        <w:t>£79</w:t>
      </w:r>
      <w:r>
        <w:tab/>
        <w:t>£790</w:t>
      </w:r>
    </w:p>
    <w:p w:rsidR="008C1DB2" w:rsidRPr="00E718F5" w:rsidRDefault="008C1DB2" w:rsidP="00820743">
      <w:pPr>
        <w:tabs>
          <w:tab w:val="left" w:pos="3828"/>
          <w:tab w:val="left" w:pos="4253"/>
          <w:tab w:val="decimal" w:pos="5529"/>
          <w:tab w:val="decimal" w:pos="6521"/>
          <w:tab w:val="decimal" w:pos="9781"/>
        </w:tabs>
        <w:ind w:left="993" w:hanging="284"/>
      </w:pPr>
      <w:r>
        <w:tab/>
      </w:r>
      <w:r>
        <w:tab/>
        <w:t>(ii)</w:t>
      </w:r>
      <w:r>
        <w:tab/>
        <w:t>10 @</w:t>
      </w:r>
      <w:r>
        <w:tab/>
        <w:t>£100</w:t>
      </w:r>
      <w:r>
        <w:tab/>
        <w:t>£1,000</w:t>
      </w:r>
      <w:r>
        <w:tab/>
        <w:t>£1,790</w:t>
      </w:r>
    </w:p>
    <w:p w:rsidR="008C1DB2" w:rsidRDefault="008C1DB2" w:rsidP="00045F28">
      <w:pPr>
        <w:tabs>
          <w:tab w:val="left" w:pos="7655"/>
          <w:tab w:val="decimal" w:pos="8931"/>
          <w:tab w:val="decimal" w:pos="9781"/>
        </w:tabs>
        <w:ind w:left="993" w:hanging="284"/>
      </w:pPr>
      <w:r>
        <w:rPr>
          <w:b/>
        </w:rPr>
        <w:t>J</w:t>
      </w:r>
      <w:r>
        <w:rPr>
          <w:b/>
        </w:rPr>
        <w:tab/>
      </w:r>
      <w:r>
        <w:t>Total funded (</w:t>
      </w:r>
      <w:r>
        <w:rPr>
          <w:b/>
        </w:rPr>
        <w:t>F</w:t>
      </w:r>
      <w:r>
        <w:t>+</w:t>
      </w:r>
      <w:r w:rsidRPr="00045F28">
        <w:rPr>
          <w:b/>
        </w:rPr>
        <w:t>G</w:t>
      </w:r>
      <w:r>
        <w:t>+</w:t>
      </w:r>
      <w:r>
        <w:rPr>
          <w:b/>
        </w:rPr>
        <w:t>H</w:t>
      </w:r>
      <w:r>
        <w:t>+</w:t>
      </w:r>
      <w:r>
        <w:rPr>
          <w:b/>
        </w:rPr>
        <w:t>I</w:t>
      </w:r>
      <w:r>
        <w:t>)</w:t>
      </w:r>
      <w:r>
        <w:tab/>
      </w:r>
      <w:r>
        <w:tab/>
      </w:r>
      <w:r>
        <w:tab/>
      </w:r>
      <w:r w:rsidRPr="00045F28">
        <w:rPr>
          <w:b/>
        </w:rPr>
        <w:t>£7,250</w:t>
      </w:r>
    </w:p>
    <w:p w:rsidR="008C1DB2" w:rsidRPr="007F1FB7" w:rsidRDefault="008C1DB2" w:rsidP="001C64CB">
      <w:pPr>
        <w:tabs>
          <w:tab w:val="left" w:pos="426"/>
        </w:tabs>
        <w:ind w:left="426" w:hanging="426"/>
        <w:rPr>
          <w:sz w:val="12"/>
        </w:rPr>
      </w:pPr>
    </w:p>
    <w:p w:rsidR="008C1DB2" w:rsidRPr="007F1FB7" w:rsidRDefault="008C1DB2" w:rsidP="007F1FB7">
      <w:pPr>
        <w:ind w:left="993" w:hanging="284"/>
        <w:rPr>
          <w:i/>
          <w:sz w:val="20"/>
        </w:rPr>
      </w:pPr>
      <w:r w:rsidRPr="007F1FB7">
        <w:t>**</w:t>
      </w:r>
      <w:r>
        <w:rPr>
          <w:i/>
        </w:rPr>
        <w:tab/>
      </w:r>
      <w:r w:rsidRPr="007F1FB7">
        <w:rPr>
          <w:i/>
          <w:sz w:val="20"/>
        </w:rPr>
        <w:t xml:space="preserve">The prices used in the example are taken from the Pendarren tariff in operation up to the 2016-2017 Academic Year. It is understood that Haringey Council </w:t>
      </w:r>
      <w:r>
        <w:rPr>
          <w:i/>
          <w:sz w:val="20"/>
        </w:rPr>
        <w:t>ha</w:t>
      </w:r>
      <w:r w:rsidRPr="007F1FB7">
        <w:rPr>
          <w:i/>
          <w:sz w:val="20"/>
        </w:rPr>
        <w:t>s revise</w:t>
      </w:r>
      <w:r>
        <w:rPr>
          <w:i/>
          <w:sz w:val="20"/>
        </w:rPr>
        <w:t>d</w:t>
      </w:r>
      <w:r w:rsidRPr="007F1FB7">
        <w:rPr>
          <w:i/>
          <w:sz w:val="20"/>
        </w:rPr>
        <w:t xml:space="preserve"> th</w:t>
      </w:r>
      <w:r>
        <w:rPr>
          <w:i/>
          <w:sz w:val="20"/>
        </w:rPr>
        <w:t>e</w:t>
      </w:r>
      <w:r w:rsidRPr="007F1FB7">
        <w:rPr>
          <w:i/>
          <w:sz w:val="20"/>
        </w:rPr>
        <w:t>s</w:t>
      </w:r>
      <w:r>
        <w:rPr>
          <w:i/>
          <w:sz w:val="20"/>
        </w:rPr>
        <w:t>e</w:t>
      </w:r>
      <w:r w:rsidRPr="007F1FB7">
        <w:rPr>
          <w:i/>
          <w:sz w:val="20"/>
        </w:rPr>
        <w:t xml:space="preserve"> for 2017-2018 onwards.</w:t>
      </w:r>
    </w:p>
    <w:p w:rsidR="008C1DB2" w:rsidRDefault="008C1DB2"/>
    <w:p w:rsidR="008C1DB2" w:rsidRDefault="008C1DB2" w:rsidP="000F6E82">
      <w:pPr>
        <w:pBdr>
          <w:bottom w:val="single" w:sz="4" w:space="1" w:color="auto"/>
        </w:pBdr>
      </w:pPr>
      <w:r>
        <w:t>Application forms for Somerset Grants for Schools can be downloaded from the Foundation’s website.</w:t>
      </w:r>
    </w:p>
    <w:p w:rsidR="008C1DB2" w:rsidRDefault="008C1DB2" w:rsidP="000F6E82">
      <w:pPr>
        <w:pBdr>
          <w:bottom w:val="single" w:sz="4" w:space="1" w:color="auto"/>
        </w:pBdr>
      </w:pPr>
    </w:p>
    <w:p w:rsidR="008C1DB2" w:rsidRDefault="008C1DB2" w:rsidP="000F6E82">
      <w:pPr>
        <w:jc w:val="center"/>
      </w:pPr>
      <w:r>
        <w:t>The Foundation’s contact details are:</w:t>
      </w:r>
    </w:p>
    <w:p w:rsidR="008C1DB2" w:rsidRDefault="008C1DB2" w:rsidP="000F6E82">
      <w:pPr>
        <w:tabs>
          <w:tab w:val="left" w:pos="-2268"/>
          <w:tab w:val="right" w:pos="-1985"/>
        </w:tabs>
        <w:jc w:val="center"/>
      </w:pPr>
      <w:r>
        <w:t xml:space="preserve">website </w:t>
      </w:r>
      <w:hyperlink r:id="rId5" w:history="1">
        <w:r w:rsidRPr="004A3376">
          <w:rPr>
            <w:rStyle w:val="Hyperlink"/>
          </w:rPr>
          <w:t>www.tgsf.info</w:t>
        </w:r>
      </w:hyperlink>
    </w:p>
    <w:p w:rsidR="008C1DB2" w:rsidRDefault="008C1DB2" w:rsidP="000F6E82">
      <w:pPr>
        <w:tabs>
          <w:tab w:val="left" w:pos="-2268"/>
          <w:tab w:val="right" w:pos="-1985"/>
        </w:tabs>
        <w:jc w:val="center"/>
      </w:pPr>
      <w:r>
        <w:t xml:space="preserve">email </w:t>
      </w:r>
      <w:hyperlink r:id="rId6" w:history="1">
        <w:r w:rsidRPr="004A3376">
          <w:rPr>
            <w:rStyle w:val="Hyperlink"/>
          </w:rPr>
          <w:t>schools@tgsf.info</w:t>
        </w:r>
      </w:hyperlink>
    </w:p>
    <w:p w:rsidR="008C1DB2" w:rsidRDefault="008C1DB2" w:rsidP="000F6E82">
      <w:pPr>
        <w:tabs>
          <w:tab w:val="left" w:pos="-2268"/>
          <w:tab w:val="right" w:pos="-1985"/>
        </w:tabs>
        <w:jc w:val="center"/>
      </w:pPr>
      <w:r>
        <w:t>phone 020 8882 2999</w:t>
      </w:r>
    </w:p>
    <w:sectPr w:rsidR="008C1DB2" w:rsidSect="001C64CB">
      <w:pgSz w:w="11907" w:h="16840" w:code="9"/>
      <w:pgMar w:top="709" w:right="850" w:bottom="568" w:left="85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06B1"/>
    <w:multiLevelType w:val="hybridMultilevel"/>
    <w:tmpl w:val="DAC2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72A"/>
    <w:rsid w:val="0000700A"/>
    <w:rsid w:val="00014618"/>
    <w:rsid w:val="00024426"/>
    <w:rsid w:val="00035FED"/>
    <w:rsid w:val="00045F28"/>
    <w:rsid w:val="0004640F"/>
    <w:rsid w:val="000B0A2E"/>
    <w:rsid w:val="000C2795"/>
    <w:rsid w:val="000F6E82"/>
    <w:rsid w:val="0012037E"/>
    <w:rsid w:val="00120D4D"/>
    <w:rsid w:val="001275C5"/>
    <w:rsid w:val="00144A2B"/>
    <w:rsid w:val="001666C1"/>
    <w:rsid w:val="00166D97"/>
    <w:rsid w:val="0017346D"/>
    <w:rsid w:val="001A29E1"/>
    <w:rsid w:val="001A7C45"/>
    <w:rsid w:val="001A7EDF"/>
    <w:rsid w:val="001C6092"/>
    <w:rsid w:val="001C64CB"/>
    <w:rsid w:val="001D58A5"/>
    <w:rsid w:val="001E4656"/>
    <w:rsid w:val="001F2FB3"/>
    <w:rsid w:val="0020061B"/>
    <w:rsid w:val="00206A1F"/>
    <w:rsid w:val="00211289"/>
    <w:rsid w:val="00214DD9"/>
    <w:rsid w:val="0022753F"/>
    <w:rsid w:val="00235145"/>
    <w:rsid w:val="0025320A"/>
    <w:rsid w:val="002620EC"/>
    <w:rsid w:val="002A1C77"/>
    <w:rsid w:val="00316EED"/>
    <w:rsid w:val="003279E1"/>
    <w:rsid w:val="00352C1B"/>
    <w:rsid w:val="0035511B"/>
    <w:rsid w:val="00382EA8"/>
    <w:rsid w:val="003D4C3D"/>
    <w:rsid w:val="003E7A54"/>
    <w:rsid w:val="00400554"/>
    <w:rsid w:val="0040492A"/>
    <w:rsid w:val="00413212"/>
    <w:rsid w:val="00444184"/>
    <w:rsid w:val="004A3376"/>
    <w:rsid w:val="00522C31"/>
    <w:rsid w:val="005550CC"/>
    <w:rsid w:val="0055669E"/>
    <w:rsid w:val="005702E7"/>
    <w:rsid w:val="0058544C"/>
    <w:rsid w:val="005A1AB1"/>
    <w:rsid w:val="005B33DD"/>
    <w:rsid w:val="005D18D0"/>
    <w:rsid w:val="00604041"/>
    <w:rsid w:val="0061171C"/>
    <w:rsid w:val="00615FD6"/>
    <w:rsid w:val="00632724"/>
    <w:rsid w:val="00632F60"/>
    <w:rsid w:val="006622C2"/>
    <w:rsid w:val="00683870"/>
    <w:rsid w:val="00692813"/>
    <w:rsid w:val="006A7E22"/>
    <w:rsid w:val="006C2DEB"/>
    <w:rsid w:val="00726036"/>
    <w:rsid w:val="00756EFF"/>
    <w:rsid w:val="00762430"/>
    <w:rsid w:val="00784E57"/>
    <w:rsid w:val="007918EB"/>
    <w:rsid w:val="00794D3D"/>
    <w:rsid w:val="007B20F6"/>
    <w:rsid w:val="007F1FB7"/>
    <w:rsid w:val="007F6E37"/>
    <w:rsid w:val="00820743"/>
    <w:rsid w:val="00840D7F"/>
    <w:rsid w:val="0085097D"/>
    <w:rsid w:val="00862065"/>
    <w:rsid w:val="008634FF"/>
    <w:rsid w:val="00866C85"/>
    <w:rsid w:val="00886572"/>
    <w:rsid w:val="00895EBC"/>
    <w:rsid w:val="008C1DB2"/>
    <w:rsid w:val="008C59E1"/>
    <w:rsid w:val="008F197A"/>
    <w:rsid w:val="009076CA"/>
    <w:rsid w:val="009444A6"/>
    <w:rsid w:val="00954814"/>
    <w:rsid w:val="009571ED"/>
    <w:rsid w:val="00965A04"/>
    <w:rsid w:val="009F5E4E"/>
    <w:rsid w:val="00A40A75"/>
    <w:rsid w:val="00A5154D"/>
    <w:rsid w:val="00A532FC"/>
    <w:rsid w:val="00A942B9"/>
    <w:rsid w:val="00AC222A"/>
    <w:rsid w:val="00B073A9"/>
    <w:rsid w:val="00B2172A"/>
    <w:rsid w:val="00B46152"/>
    <w:rsid w:val="00B77BF9"/>
    <w:rsid w:val="00BB2538"/>
    <w:rsid w:val="00BD3A41"/>
    <w:rsid w:val="00BE472A"/>
    <w:rsid w:val="00C3545B"/>
    <w:rsid w:val="00CB0D19"/>
    <w:rsid w:val="00CB7476"/>
    <w:rsid w:val="00CF20AD"/>
    <w:rsid w:val="00D02B43"/>
    <w:rsid w:val="00D1462B"/>
    <w:rsid w:val="00D34888"/>
    <w:rsid w:val="00D4438F"/>
    <w:rsid w:val="00D70FEE"/>
    <w:rsid w:val="00DC601A"/>
    <w:rsid w:val="00DE11CC"/>
    <w:rsid w:val="00E02AC4"/>
    <w:rsid w:val="00E174EE"/>
    <w:rsid w:val="00E277FF"/>
    <w:rsid w:val="00E718F5"/>
    <w:rsid w:val="00E97841"/>
    <w:rsid w:val="00EA4A58"/>
    <w:rsid w:val="00EB3C9F"/>
    <w:rsid w:val="00EC2550"/>
    <w:rsid w:val="00EC2597"/>
    <w:rsid w:val="00EE5CD8"/>
    <w:rsid w:val="00EF1A5A"/>
    <w:rsid w:val="00EF57C2"/>
    <w:rsid w:val="00F368B0"/>
    <w:rsid w:val="00F63482"/>
    <w:rsid w:val="00F95D15"/>
    <w:rsid w:val="00FD32FF"/>
    <w:rsid w:val="00FD6A8D"/>
    <w:rsid w:val="00FE1BD1"/>
    <w:rsid w:val="00FE1ED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57"/>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73A9"/>
    <w:pPr>
      <w:ind w:left="720"/>
      <w:contextualSpacing/>
    </w:pPr>
  </w:style>
  <w:style w:type="character" w:styleId="Hyperlink">
    <w:name w:val="Hyperlink"/>
    <w:basedOn w:val="DefaultParagraphFont"/>
    <w:uiPriority w:val="99"/>
    <w:rsid w:val="00F634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tgsf.info" TargetMode="External"/><Relationship Id="rId5" Type="http://schemas.openxmlformats.org/officeDocument/2006/relationships/hyperlink" Target="http://www.tgsf.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588</Words>
  <Characters>3356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Grants from the Tottenham Grammar School Foundation</dc:title>
  <dc:subject/>
  <dc:creator> Graham Chappell</dc:creator>
  <cp:keywords/>
  <dc:description/>
  <cp:lastModifiedBy>A L</cp:lastModifiedBy>
  <cp:revision>2</cp:revision>
  <cp:lastPrinted>2017-06-01T13:25:00Z</cp:lastPrinted>
  <dcterms:created xsi:type="dcterms:W3CDTF">2018-10-11T09:41:00Z</dcterms:created>
  <dcterms:modified xsi:type="dcterms:W3CDTF">2018-10-11T09:41:00Z</dcterms:modified>
</cp:coreProperties>
</file>